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7766654B"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927724">
        <w:rPr>
          <w:rFonts w:cs="Arial"/>
          <w:b/>
          <w:sz w:val="24"/>
          <w:lang w:val="en-GB"/>
        </w:rPr>
        <w:t>4</w:t>
      </w:r>
      <w:r w:rsidR="004D58F6">
        <w:rPr>
          <w:rFonts w:cs="Arial"/>
          <w:b/>
          <w:sz w:val="24"/>
          <w:lang w:val="en-GB"/>
        </w:rPr>
        <w:t>BIS</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r w:rsidR="00BA7A53" w:rsidRPr="00BA7A53">
        <w:rPr>
          <w:rFonts w:cs="Arial"/>
          <w:b/>
          <w:sz w:val="24"/>
          <w:lang w:val="en-GB"/>
        </w:rPr>
        <w:t>R1-1811320</w:t>
      </w:r>
      <w:bookmarkStart w:id="0" w:name="_GoBack"/>
      <w:bookmarkEnd w:id="0"/>
    </w:p>
    <w:p w14:paraId="3CF70009" w14:textId="73D7D451" w:rsidR="00965321" w:rsidRDefault="004D58F6" w:rsidP="00965321">
      <w:pPr>
        <w:tabs>
          <w:tab w:val="left" w:pos="567"/>
        </w:tabs>
        <w:rPr>
          <w:rFonts w:cs="Arial"/>
          <w:b/>
          <w:sz w:val="24"/>
          <w:lang w:val="en-GB"/>
        </w:rPr>
      </w:pPr>
      <w:r>
        <w:rPr>
          <w:rFonts w:cs="Arial"/>
          <w:b/>
          <w:sz w:val="24"/>
          <w:lang w:val="en-GB"/>
        </w:rPr>
        <w:t>Chengdu</w:t>
      </w:r>
      <w:r w:rsidR="00B14861">
        <w:rPr>
          <w:rFonts w:cs="Arial"/>
          <w:b/>
          <w:sz w:val="24"/>
          <w:lang w:val="en-GB"/>
        </w:rPr>
        <w:t>,</w:t>
      </w:r>
      <w:r>
        <w:rPr>
          <w:rFonts w:cs="Arial"/>
          <w:b/>
          <w:sz w:val="24"/>
          <w:lang w:val="en-GB"/>
        </w:rPr>
        <w:t xml:space="preserve"> P. R. China,</w:t>
      </w:r>
      <w:r w:rsidR="00B14861">
        <w:rPr>
          <w:rFonts w:cs="Arial"/>
          <w:b/>
          <w:sz w:val="24"/>
          <w:lang w:val="en-GB"/>
        </w:rPr>
        <w:t xml:space="preserve"> </w:t>
      </w:r>
      <w:r>
        <w:rPr>
          <w:rFonts w:cs="Arial"/>
          <w:b/>
          <w:sz w:val="24"/>
          <w:lang w:val="en-GB"/>
        </w:rPr>
        <w:t>October</w:t>
      </w:r>
      <w:r w:rsidR="00965321" w:rsidRPr="0074590A">
        <w:rPr>
          <w:rFonts w:cs="Arial"/>
          <w:b/>
          <w:sz w:val="24"/>
          <w:lang w:val="en-GB"/>
        </w:rPr>
        <w:t xml:space="preserve"> </w:t>
      </w:r>
      <w:r>
        <w:rPr>
          <w:rFonts w:cs="Arial"/>
          <w:b/>
          <w:sz w:val="24"/>
          <w:lang w:val="en-GB"/>
        </w:rPr>
        <w:t>8</w:t>
      </w:r>
      <w:r w:rsidR="00965321" w:rsidRPr="0074590A">
        <w:rPr>
          <w:rFonts w:cs="Arial"/>
          <w:b/>
          <w:sz w:val="24"/>
          <w:lang w:val="en-GB"/>
        </w:rPr>
        <w:t xml:space="preserve">th – </w:t>
      </w:r>
      <w:r>
        <w:rPr>
          <w:rFonts w:cs="Arial"/>
          <w:b/>
          <w:sz w:val="24"/>
          <w:lang w:val="en-GB"/>
        </w:rPr>
        <w:t>12</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67E246B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2.2.4</w:t>
      </w:r>
      <w:r w:rsidR="00965321">
        <w:rPr>
          <w:b/>
          <w:sz w:val="24"/>
          <w:szCs w:val="24"/>
        </w:rPr>
        <w:t>.</w:t>
      </w:r>
      <w:r w:rsidR="004D58F6">
        <w:rPr>
          <w:b/>
          <w:sz w:val="24"/>
          <w:szCs w:val="24"/>
        </w:rPr>
        <w:t>4</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03BB32F"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4D58F6">
        <w:rPr>
          <w:b/>
          <w:sz w:val="24"/>
          <w:szCs w:val="24"/>
        </w:rPr>
        <w:t>UL BWP Management in 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4074E949"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C07D6">
        <w:rPr>
          <w:rFonts w:ascii="Calibri" w:hAnsi="Calibri"/>
        </w:rPr>
        <w:t>The following agreement</w:t>
      </w:r>
      <w:r w:rsidR="00CD44A8">
        <w:rPr>
          <w:rFonts w:ascii="Calibri" w:hAnsi="Calibri"/>
        </w:rPr>
        <w:t>s were</w:t>
      </w:r>
      <w:r w:rsidR="00BC07D6">
        <w:rPr>
          <w:rFonts w:ascii="Calibri" w:hAnsi="Calibri"/>
        </w:rPr>
        <w:t xml:space="preserve"> reached regarding </w:t>
      </w:r>
      <w:r w:rsidR="004D58F6">
        <w:rPr>
          <w:rFonts w:ascii="Calibri" w:hAnsi="Calibri"/>
        </w:rPr>
        <w:t>configured UL grants</w:t>
      </w:r>
      <w:r w:rsidR="00A921DD">
        <w:rPr>
          <w:rFonts w:ascii="Calibri" w:hAnsi="Calibri"/>
        </w:rPr>
        <w:t xml:space="preserve"> in RAN1#9</w:t>
      </w:r>
      <w:r w:rsidR="004D58F6">
        <w:rPr>
          <w:rFonts w:ascii="Calibri" w:hAnsi="Calibri"/>
        </w:rPr>
        <w:t>4</w:t>
      </w:r>
      <w:r w:rsidR="00A921DD">
        <w:rPr>
          <w:rFonts w:ascii="Calibri" w:hAnsi="Calibri"/>
        </w:rPr>
        <w:t xml:space="preserv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60265EF3" w14:textId="77777777" w:rsidR="004D58F6" w:rsidRDefault="004D58F6" w:rsidP="004D58F6">
      <w:pPr>
        <w:rPr>
          <w:rFonts w:eastAsia="MS Mincho"/>
          <w:iCs/>
          <w:lang w:eastAsia="ja-JP"/>
        </w:rPr>
      </w:pPr>
      <w:r w:rsidRPr="00EF7BAD">
        <w:rPr>
          <w:rFonts w:eastAsia="MS Mincho"/>
          <w:iCs/>
          <w:highlight w:val="green"/>
          <w:lang w:eastAsia="ja-JP"/>
        </w:rPr>
        <w:t>Agreement:</w:t>
      </w:r>
    </w:p>
    <w:p w14:paraId="3FA0520E" w14:textId="77765FD3" w:rsidR="004D58F6" w:rsidRDefault="004D58F6" w:rsidP="004D58F6">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7C560AB" w14:textId="77777777" w:rsidR="004D58F6" w:rsidRPr="003A4D69" w:rsidRDefault="004D58F6" w:rsidP="004D58F6">
      <w:pPr>
        <w:rPr>
          <w:u w:val="single"/>
          <w:lang w:eastAsia="x-none"/>
        </w:rPr>
      </w:pPr>
      <w:r w:rsidRPr="003A4D69">
        <w:rPr>
          <w:u w:val="single"/>
          <w:lang w:eastAsia="x-none"/>
        </w:rPr>
        <w:t>Conclusion:</w:t>
      </w:r>
    </w:p>
    <w:p w14:paraId="4D0BC5CB" w14:textId="13472262" w:rsidR="004D58F6" w:rsidRDefault="004D58F6" w:rsidP="004D58F6">
      <w:pPr>
        <w:rPr>
          <w:lang w:eastAsia="x-none"/>
        </w:rPr>
      </w:pPr>
      <w:r>
        <w:rPr>
          <w:lang w:eastAsia="x-none"/>
        </w:rPr>
        <w:t>There is no necessity to exclude Type-1 or Type-2 configured grant mechanism for operation of NR in unlicensed spectrum.</w:t>
      </w:r>
    </w:p>
    <w:p w14:paraId="57AFD78F" w14:textId="77777777" w:rsidR="004D58F6" w:rsidRDefault="004D58F6" w:rsidP="004D58F6">
      <w:pPr>
        <w:rPr>
          <w:lang w:eastAsia="x-none"/>
        </w:rPr>
      </w:pPr>
      <w:r w:rsidRPr="003A4D69">
        <w:rPr>
          <w:highlight w:val="green"/>
          <w:lang w:eastAsia="x-none"/>
        </w:rPr>
        <w:t>Agreement:</w:t>
      </w:r>
    </w:p>
    <w:p w14:paraId="21CE273A" w14:textId="2AFEBF7A" w:rsidR="004D58F6" w:rsidRDefault="004D58F6" w:rsidP="004D58F6">
      <w:pPr>
        <w:rPr>
          <w:lang w:eastAsia="x-none"/>
        </w:rPr>
      </w:pPr>
      <w:r>
        <w:rPr>
          <w:lang w:eastAsia="x-none"/>
        </w:rPr>
        <w:t>UE selects the HARQ process ID from an RRC configured set of HARQ IDs for NR-unlicensed configured grant transmission.</w:t>
      </w:r>
    </w:p>
    <w:p w14:paraId="7CC3AF2A" w14:textId="77777777" w:rsidR="004D58F6" w:rsidRDefault="004D58F6" w:rsidP="004D58F6">
      <w:pPr>
        <w:rPr>
          <w:lang w:eastAsia="x-none"/>
        </w:rPr>
      </w:pPr>
      <w:r w:rsidRPr="00FB3AFA">
        <w:rPr>
          <w:highlight w:val="green"/>
          <w:lang w:eastAsia="x-none"/>
        </w:rPr>
        <w:t>Agreement:</w:t>
      </w:r>
    </w:p>
    <w:p w14:paraId="7A23C8F4" w14:textId="77777777" w:rsidR="004D58F6" w:rsidRDefault="004D58F6" w:rsidP="004D58F6">
      <w:pPr>
        <w:rPr>
          <w:lang w:eastAsia="x-none"/>
        </w:rPr>
      </w:pPr>
      <w:r>
        <w:rPr>
          <w:lang w:eastAsia="x-none"/>
        </w:rPr>
        <w:t xml:space="preserve">It is identified to be beneficial to support DFI to include pending HARQ ACK feedback for prior configured grant transmissions from the same UE. </w:t>
      </w:r>
    </w:p>
    <w:p w14:paraId="5E549EFA" w14:textId="42E3F43D" w:rsidR="004D58F6" w:rsidRDefault="004D58F6" w:rsidP="00E318FA">
      <w:pPr>
        <w:numPr>
          <w:ilvl w:val="0"/>
          <w:numId w:val="22"/>
        </w:numPr>
        <w:spacing w:before="0" w:after="0"/>
        <w:jc w:val="left"/>
        <w:rPr>
          <w:lang w:eastAsia="x-none"/>
        </w:rPr>
      </w:pPr>
      <w:r>
        <w:rPr>
          <w:lang w:eastAsia="x-none"/>
        </w:rPr>
        <w:t>FFS: DFI to include HARQ ACK feedback for scheduled UL transmissions using HARQ IDs configured for NR-unlicensed configured grant transmission.</w:t>
      </w:r>
    </w:p>
    <w:p w14:paraId="6F63B994" w14:textId="77777777" w:rsidR="004D58F6" w:rsidRDefault="004D58F6" w:rsidP="004D58F6">
      <w:pPr>
        <w:rPr>
          <w:lang w:eastAsia="x-none"/>
        </w:rPr>
      </w:pPr>
      <w:r w:rsidRPr="006667AC">
        <w:rPr>
          <w:highlight w:val="green"/>
          <w:lang w:eastAsia="x-none"/>
        </w:rPr>
        <w:t>Agreement:</w:t>
      </w:r>
    </w:p>
    <w:p w14:paraId="5FD35E05" w14:textId="77777777" w:rsidR="004D58F6" w:rsidRDefault="004D58F6" w:rsidP="004D58F6">
      <w:pPr>
        <w:numPr>
          <w:ilvl w:val="0"/>
          <w:numId w:val="22"/>
        </w:numPr>
        <w:spacing w:before="0" w:after="0"/>
        <w:jc w:val="left"/>
        <w:rPr>
          <w:lang w:eastAsia="x-none"/>
        </w:rPr>
      </w:pPr>
      <w:r>
        <w:rPr>
          <w:lang w:eastAsia="x-none"/>
        </w:rPr>
        <w:t xml:space="preserve">Retransmission via same configured grant resource is supported for a HARQ process that was initially transmitted via configured grant resource. </w:t>
      </w:r>
    </w:p>
    <w:p w14:paraId="63C1ECAD" w14:textId="7585B5B3" w:rsidR="004D58F6" w:rsidRDefault="004D58F6" w:rsidP="000E2E56">
      <w:pPr>
        <w:numPr>
          <w:ilvl w:val="0"/>
          <w:numId w:val="22"/>
        </w:numPr>
        <w:spacing w:before="0" w:after="0"/>
        <w:jc w:val="left"/>
        <w:rPr>
          <w:lang w:eastAsia="x-none"/>
        </w:rPr>
      </w:pPr>
      <w:r>
        <w:rPr>
          <w:lang w:eastAsia="x-none"/>
        </w:rPr>
        <w:t>Retransmission via resource scheduled by UL grant is supported for a HARQ process that was initially transmitted via configured grant resource.</w:t>
      </w:r>
    </w:p>
    <w:p w14:paraId="21A1A6F4" w14:textId="77777777" w:rsidR="004D58F6" w:rsidRPr="003E4BBC" w:rsidRDefault="004D58F6" w:rsidP="004D58F6">
      <w:pPr>
        <w:rPr>
          <w:lang w:eastAsia="x-none"/>
        </w:rPr>
      </w:pPr>
      <w:r w:rsidRPr="003E4BBC">
        <w:rPr>
          <w:highlight w:val="green"/>
          <w:lang w:eastAsia="x-none"/>
        </w:rPr>
        <w:t>Agreement</w:t>
      </w:r>
      <w:r>
        <w:rPr>
          <w:lang w:eastAsia="x-none"/>
        </w:rPr>
        <w:t>:</w:t>
      </w:r>
    </w:p>
    <w:p w14:paraId="518EAD04" w14:textId="77777777" w:rsidR="004D58F6" w:rsidRPr="003E4BBC" w:rsidRDefault="004D58F6" w:rsidP="004D58F6">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69904C24" w14:textId="77777777" w:rsidR="004D58F6" w:rsidRPr="003E4BBC" w:rsidRDefault="004D58F6" w:rsidP="004D58F6">
      <w:pPr>
        <w:numPr>
          <w:ilvl w:val="0"/>
          <w:numId w:val="23"/>
        </w:numPr>
        <w:spacing w:before="0" w:after="0"/>
        <w:jc w:val="left"/>
        <w:rPr>
          <w:lang w:eastAsia="x-none"/>
        </w:rPr>
      </w:pPr>
      <w:r w:rsidRPr="003E4BBC">
        <w:rPr>
          <w:lang w:eastAsia="x-none"/>
        </w:rPr>
        <w:t>Reception of NACK feedback via DFI for the corresponding HARQ process</w:t>
      </w:r>
    </w:p>
    <w:p w14:paraId="5FC5EB2D" w14:textId="77777777" w:rsidR="004D58F6" w:rsidRDefault="004D58F6" w:rsidP="004D58F6">
      <w:pPr>
        <w:numPr>
          <w:ilvl w:val="0"/>
          <w:numId w:val="23"/>
        </w:numPr>
        <w:spacing w:before="0" w:after="0"/>
        <w:jc w:val="left"/>
        <w:rPr>
          <w:lang w:eastAsia="x-none"/>
        </w:rPr>
      </w:pPr>
      <w:r w:rsidRPr="003E4BBC">
        <w:rPr>
          <w:lang w:eastAsia="x-none"/>
        </w:rPr>
        <w:t>FFS: No reception of feedback from gNB upon the timer expiration.</w:t>
      </w:r>
    </w:p>
    <w:p w14:paraId="00D1B0AA" w14:textId="69F3971D" w:rsidR="004D58F6" w:rsidRDefault="004D58F6" w:rsidP="00061E74">
      <w:pPr>
        <w:numPr>
          <w:ilvl w:val="1"/>
          <w:numId w:val="23"/>
        </w:numPr>
        <w:spacing w:before="0" w:after="0"/>
        <w:jc w:val="left"/>
        <w:rPr>
          <w:lang w:eastAsia="x-none"/>
        </w:rPr>
      </w:pPr>
      <w:r w:rsidRPr="003E4BBC">
        <w:rPr>
          <w:lang w:eastAsia="x-none"/>
        </w:rPr>
        <w:t xml:space="preserve">To introduce a new timer or reuse </w:t>
      </w:r>
      <w:r w:rsidRPr="004D58F6">
        <w:rPr>
          <w:i/>
          <w:lang w:eastAsia="x-none"/>
        </w:rPr>
        <w:t>configuredGrantTimer.</w:t>
      </w:r>
    </w:p>
    <w:p w14:paraId="07731632" w14:textId="77777777" w:rsidR="004D58F6" w:rsidRDefault="004D58F6" w:rsidP="004D58F6">
      <w:pPr>
        <w:rPr>
          <w:lang w:eastAsia="x-none"/>
        </w:rPr>
      </w:pPr>
      <w:r w:rsidRPr="001C41D2">
        <w:rPr>
          <w:highlight w:val="green"/>
          <w:lang w:eastAsia="x-none"/>
        </w:rPr>
        <w:t>Agreement:</w:t>
      </w:r>
    </w:p>
    <w:p w14:paraId="652724A0" w14:textId="77777777" w:rsidR="004D58F6" w:rsidRDefault="004D58F6" w:rsidP="004D58F6">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29B4F6C4" w14:textId="77777777" w:rsidR="004D58F6" w:rsidRDefault="004D58F6" w:rsidP="004D58F6">
      <w:pPr>
        <w:numPr>
          <w:ilvl w:val="0"/>
          <w:numId w:val="24"/>
        </w:numPr>
        <w:spacing w:before="0" w:after="0"/>
        <w:jc w:val="left"/>
        <w:rPr>
          <w:lang w:eastAsia="x-none"/>
        </w:rPr>
      </w:pPr>
      <w:r>
        <w:rPr>
          <w:lang w:eastAsia="x-none"/>
        </w:rPr>
        <w:t>FFS: detailed mechanism.</w:t>
      </w:r>
    </w:p>
    <w:p w14:paraId="40F91A1D" w14:textId="77777777" w:rsidR="004D58F6" w:rsidRDefault="004D58F6" w:rsidP="004D58F6">
      <w:pPr>
        <w:rPr>
          <w:highlight w:val="green"/>
          <w:lang w:eastAsia="x-none"/>
        </w:rPr>
      </w:pPr>
    </w:p>
    <w:p w14:paraId="2F6B9790" w14:textId="77777777" w:rsidR="004D58F6" w:rsidRDefault="004D58F6" w:rsidP="004D58F6">
      <w:pPr>
        <w:rPr>
          <w:highlight w:val="green"/>
          <w:lang w:eastAsia="x-none"/>
        </w:rPr>
      </w:pPr>
    </w:p>
    <w:p w14:paraId="1BBD2A27" w14:textId="77777777" w:rsidR="004D58F6" w:rsidRDefault="004D58F6" w:rsidP="004D58F6">
      <w:pPr>
        <w:rPr>
          <w:lang w:eastAsia="x-none"/>
        </w:rPr>
      </w:pPr>
      <w:r w:rsidRPr="001C41D2">
        <w:rPr>
          <w:highlight w:val="green"/>
          <w:lang w:eastAsia="x-none"/>
        </w:rPr>
        <w:t>Agreement:</w:t>
      </w:r>
    </w:p>
    <w:p w14:paraId="644AC0F2" w14:textId="77777777" w:rsidR="004D58F6" w:rsidRDefault="004D58F6" w:rsidP="004D58F6">
      <w:pPr>
        <w:pStyle w:val="maintext"/>
        <w:ind w:firstLineChars="0" w:firstLine="0"/>
        <w:rPr>
          <w:rFonts w:ascii="Calibri" w:hAnsi="Calibri"/>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r w:rsidR="00BC07D6">
        <w:rPr>
          <w:rFonts w:ascii="Calibri" w:hAnsi="Calibri"/>
        </w:rPr>
        <w:br/>
      </w:r>
    </w:p>
    <w:p w14:paraId="0D0B1DCF" w14:textId="71E7BB48" w:rsidR="0058113E" w:rsidRDefault="00B359FB" w:rsidP="004D58F6">
      <w:pPr>
        <w:pStyle w:val="maintext"/>
        <w:ind w:firstLineChars="0" w:firstLine="0"/>
        <w:rPr>
          <w:rFonts w:ascii="Calibri" w:hAnsi="Calibri"/>
        </w:rPr>
      </w:pPr>
      <w:r>
        <w:rPr>
          <w:rFonts w:ascii="Calibri" w:hAnsi="Calibri"/>
        </w:rPr>
        <w:t xml:space="preserve">In this contribution, we examine several </w:t>
      </w:r>
      <w:r w:rsidR="00A921DD">
        <w:rPr>
          <w:rFonts w:ascii="Calibri" w:hAnsi="Calibri"/>
        </w:rPr>
        <w:t xml:space="preserve">design </w:t>
      </w:r>
      <w:r>
        <w:rPr>
          <w:rFonts w:ascii="Calibri" w:hAnsi="Calibri"/>
        </w:rPr>
        <w:t xml:space="preserve">aspects related to </w:t>
      </w:r>
      <w:r w:rsidR="004D58F6">
        <w:rPr>
          <w:rFonts w:ascii="Calibri" w:hAnsi="Calibri"/>
        </w:rPr>
        <w:t>UL BWP management for configured grants</w:t>
      </w:r>
      <w:r>
        <w:rPr>
          <w:rFonts w:ascii="Calibri" w:hAnsi="Calibri"/>
        </w:rPr>
        <w:t>.</w:t>
      </w:r>
    </w:p>
    <w:p w14:paraId="7E833F0D" w14:textId="0256B361" w:rsidR="00B94AAD" w:rsidRDefault="00E251EC" w:rsidP="00257F9A">
      <w:pPr>
        <w:pStyle w:val="Heading1"/>
      </w:pPr>
      <w:r>
        <w:t xml:space="preserve">NR-U </w:t>
      </w:r>
      <w:r w:rsidR="0045714E">
        <w:t xml:space="preserve">Autonomous </w:t>
      </w:r>
      <w:r w:rsidR="00F63BEA">
        <w:t>UL BWP</w:t>
      </w:r>
      <w:r w:rsidR="00257F9A">
        <w:t xml:space="preserve"> </w:t>
      </w:r>
    </w:p>
    <w:p w14:paraId="754B61CC" w14:textId="77777777" w:rsidR="00B5169C" w:rsidRDefault="00B5169C" w:rsidP="00A921DD">
      <w:pPr>
        <w:rPr>
          <w:b/>
        </w:rPr>
      </w:pPr>
    </w:p>
    <w:p w14:paraId="1C0C40F2" w14:textId="4620125A" w:rsidR="008C27C3" w:rsidRDefault="008C27C3" w:rsidP="008C27C3">
      <w:pPr>
        <w:pStyle w:val="Heading2"/>
      </w:pPr>
      <w:r>
        <w:t>UL BWP in Rel-15</w:t>
      </w:r>
    </w:p>
    <w:p w14:paraId="4E32BD43" w14:textId="1598072A" w:rsidR="00F63BEA" w:rsidRDefault="00F63BEA" w:rsidP="00A921DD">
      <w:r w:rsidRPr="00F63BEA">
        <w:t xml:space="preserve">In Rel-15 NR, </w:t>
      </w:r>
      <w:r>
        <w:t>a</w:t>
      </w:r>
      <w:r w:rsidRPr="00F63BEA">
        <w:t xml:space="preserve"> UE can be configured with up to four bandwidth parts (BWPs) in the uplink with a single uplink BWP being active at a given time. If a UE is configured with a supplementary uplink, the UE can in addition be configured with up to four BWP in the supplementary uplink with a single supplementary uplink BWP being active at a given time. The UE shall not transmit PUSCH, PUCCH or SRS outside an active BWP.</w:t>
      </w:r>
    </w:p>
    <w:p w14:paraId="2B6CBC13" w14:textId="669C9FC1" w:rsidR="0045714E" w:rsidRDefault="0045714E" w:rsidP="00A921DD">
      <w:r w:rsidRPr="00F63BEA">
        <w:t>UL BWP switching is indicated by the DCI carrying UL s</w:t>
      </w:r>
      <w:r>
        <w:t>cheduling grant sent by the gNB</w:t>
      </w:r>
      <w:r w:rsidRPr="0045714E">
        <w:t>.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w:t>
      </w:r>
    </w:p>
    <w:p w14:paraId="7FC92735" w14:textId="21A99EC2" w:rsidR="00D71E46" w:rsidRDefault="00D71E46" w:rsidP="00A921DD">
      <w:r>
        <w:t xml:space="preserve">For configured grants, the </w:t>
      </w:r>
      <w:r w:rsidRPr="00D71E46">
        <w:t xml:space="preserve">PUSCH resource allocation </w:t>
      </w:r>
      <w:r w:rsidR="0045714E">
        <w:t>is</w:t>
      </w:r>
      <w:r w:rsidRPr="00D71E46">
        <w:t xml:space="preserve"> semi-statically configured by higher layer parameter ConfiguredGrantConfig in BWP information element</w:t>
      </w:r>
      <w:r>
        <w:t>.</w:t>
      </w:r>
      <w:r w:rsidR="0045714E">
        <w:t xml:space="preserve"> The configured grant PUSCH transmission takes place on the same UL BWP that is the current active UL BWP. This implies that both scheduled and autonomous PUSCH transmissions utilize the same UL BWP until the scheduled UL is indicated to switch to a new BWP.</w:t>
      </w:r>
    </w:p>
    <w:p w14:paraId="0C8302E9" w14:textId="77777777" w:rsidR="00BF19DF" w:rsidRDefault="00BF19DF" w:rsidP="00A921DD"/>
    <w:p w14:paraId="191350B4" w14:textId="0D4A3D78" w:rsidR="00BF19DF" w:rsidRDefault="00BF19DF" w:rsidP="00A921DD">
      <w:pPr>
        <w:rPr>
          <w:b/>
        </w:rPr>
      </w:pPr>
      <w:r w:rsidRPr="00BF19DF">
        <w:rPr>
          <w:b/>
        </w:rPr>
        <w:t>Observation</w:t>
      </w:r>
      <w:r w:rsidR="00E03556">
        <w:rPr>
          <w:b/>
        </w:rPr>
        <w:t xml:space="preserve"> 1</w:t>
      </w:r>
      <w:r w:rsidRPr="00BF19DF">
        <w:rPr>
          <w:b/>
        </w:rPr>
        <w:t xml:space="preserve">: In Rel-15, both scheduled and autonomous PUSCH transmissions utilize the same UL BWP until the </w:t>
      </w:r>
      <w:r>
        <w:rPr>
          <w:b/>
        </w:rPr>
        <w:t>PUSCH transmission</w:t>
      </w:r>
      <w:r w:rsidRPr="00BF19DF">
        <w:rPr>
          <w:b/>
        </w:rPr>
        <w:t xml:space="preserve"> is indicated </w:t>
      </w:r>
      <w:r>
        <w:rPr>
          <w:b/>
        </w:rPr>
        <w:t xml:space="preserve">via DCI </w:t>
      </w:r>
      <w:r w:rsidRPr="00BF19DF">
        <w:rPr>
          <w:b/>
        </w:rPr>
        <w:t>to switch to a new BWP.</w:t>
      </w:r>
      <w:r w:rsidR="00C263F4">
        <w:rPr>
          <w:b/>
        </w:rPr>
        <w:t xml:space="preserve"> Only one UL BWP is active at a time.</w:t>
      </w:r>
    </w:p>
    <w:p w14:paraId="4559F707" w14:textId="77777777" w:rsidR="00BF19DF" w:rsidRPr="00BF19DF" w:rsidRDefault="00BF19DF" w:rsidP="00A921DD">
      <w:pPr>
        <w:rPr>
          <w:b/>
        </w:rPr>
      </w:pPr>
    </w:p>
    <w:p w14:paraId="576CEA20" w14:textId="7C3CBCA9" w:rsidR="008C27C3" w:rsidRDefault="008C27C3" w:rsidP="008C27C3">
      <w:pPr>
        <w:pStyle w:val="Heading2"/>
      </w:pPr>
      <w:r>
        <w:t>NR-U BWP Enhancement</w:t>
      </w:r>
    </w:p>
    <w:p w14:paraId="1DA4DDAB" w14:textId="77777777" w:rsidR="008276A8" w:rsidRDefault="0045714E" w:rsidP="00A921DD">
      <w:r>
        <w:t xml:space="preserve">In the case of unlicensed spectrum operation, it can be beneficial to enhance the above UL BWP principles. </w:t>
      </w:r>
      <w:r w:rsidR="00551A40">
        <w:t>As an example, consider the case where a NR-U UE is allowed to operate on two active</w:t>
      </w:r>
      <w:r w:rsidR="00DB57ED">
        <w:t xml:space="preserve"> </w:t>
      </w:r>
      <w:r w:rsidR="00551A40">
        <w:t xml:space="preserve">UL BWPs at the same time; one BWP for scheduled UL and a particular set of HARQ processes, the other BWP for </w:t>
      </w:r>
      <w:r w:rsidR="00EB37F9">
        <w:t xml:space="preserve">Type-1 </w:t>
      </w:r>
      <w:r w:rsidR="00551A40">
        <w:t xml:space="preserve">configured grants with another set of HARQ processes.  </w:t>
      </w:r>
    </w:p>
    <w:p w14:paraId="51304915" w14:textId="7424CDE0" w:rsidR="008276A8" w:rsidRDefault="008276A8" w:rsidP="00A921DD">
      <w:r>
        <w:t xml:space="preserve">In this setup, the two UL BWPs can be chosen by the gNB based on existing congestion levels of the unlicensed band; spreading PUSCH transmissions over two </w:t>
      </w:r>
      <w:r w:rsidR="00E03556">
        <w:t xml:space="preserve">non-overlapping </w:t>
      </w:r>
      <w:r>
        <w:t>BWPs can increase the opportunities for channel access. Furthermore, separating the BWPs between scheduled and autonomous PUSCH is a simple way to eliminate collisions between such transmissions in the same slot, and allows the gNB to schedule all UL interlaces on the first BWP without having to consider potential interference from Type-1 configured grant transmissions.</w:t>
      </w:r>
    </w:p>
    <w:p w14:paraId="033C44AF" w14:textId="2380084F" w:rsidR="0045714E" w:rsidRDefault="00DB57ED" w:rsidP="00A921DD">
      <w:r>
        <w:t>This does not imply that the UE simultaneously transmits on both BWPs</w:t>
      </w:r>
      <w:r w:rsidR="007E0C23">
        <w:t xml:space="preserve"> at the same time, nor does it have to monitor more than one active DL BWP. For example, if at slot </w:t>
      </w:r>
      <w:r w:rsidR="007E0C23" w:rsidRPr="007E0C23">
        <w:rPr>
          <w:i/>
        </w:rPr>
        <w:t>k</w:t>
      </w:r>
      <w:r w:rsidR="007E0C23">
        <w:t xml:space="preserve"> the UE receives a dynamic scheduling grant for slot </w:t>
      </w:r>
      <w:r w:rsidR="007E0C23" w:rsidRPr="007E0C23">
        <w:rPr>
          <w:i/>
        </w:rPr>
        <w:t>k+n</w:t>
      </w:r>
      <w:r w:rsidR="007E0C23">
        <w:t xml:space="preserve"> on BWP A, in slots </w:t>
      </w:r>
      <w:r w:rsidR="007E0C23" w:rsidRPr="007E0C23">
        <w:rPr>
          <w:i/>
        </w:rPr>
        <w:t>k</w:t>
      </w:r>
      <w:r w:rsidR="007E0C23">
        <w:t xml:space="preserve">+1 to </w:t>
      </w:r>
      <w:r w:rsidR="007E0C23" w:rsidRPr="007E0C23">
        <w:rPr>
          <w:i/>
        </w:rPr>
        <w:t>k+n</w:t>
      </w:r>
      <w:r w:rsidR="007E0C23">
        <w:t xml:space="preserve">-1 it can perform LBT and autonomous transmissions on BWP B. The UE then switches to BWP A for the scheduled PUSCH, after which it may switch back to BWP B if it has pending </w:t>
      </w:r>
      <w:r w:rsidR="00E03556">
        <w:t>configured grant HARQ processes for transmission. Note that the gNB retains full control over which UL BWP(s) it expects the UE to transmit.</w:t>
      </w:r>
    </w:p>
    <w:p w14:paraId="3A2396A3" w14:textId="77777777" w:rsidR="0045714E" w:rsidRPr="00F63BEA" w:rsidRDefault="0045714E" w:rsidP="00A921DD"/>
    <w:p w14:paraId="73C125EC" w14:textId="77777777" w:rsidR="00E03556" w:rsidRDefault="00350CCC" w:rsidP="00E272DF">
      <w:pPr>
        <w:rPr>
          <w:b/>
        </w:rPr>
      </w:pPr>
      <w:r w:rsidRPr="00350CCC">
        <w:rPr>
          <w:b/>
        </w:rPr>
        <w:t xml:space="preserve">Proposal 1: </w:t>
      </w:r>
      <w:r w:rsidR="00E03556">
        <w:rPr>
          <w:b/>
        </w:rPr>
        <w:t xml:space="preserve">It can be beneficial for </w:t>
      </w:r>
      <w:r w:rsidR="00E03556" w:rsidRPr="00E03556">
        <w:rPr>
          <w:b/>
        </w:rPr>
        <w:t>NR-U UEs to operate on two active UL BWPs at the same time; one BWP for scheduled UL and a particular set of HARQ processes, the other BWP for configured grants with another set of HARQ processes.</w:t>
      </w:r>
      <w:r w:rsidR="00E03556">
        <w:rPr>
          <w:b/>
        </w:rPr>
        <w:t xml:space="preserve"> </w:t>
      </w:r>
    </w:p>
    <w:p w14:paraId="443ED855" w14:textId="77777777" w:rsidR="009008F8" w:rsidRDefault="009008F8" w:rsidP="00E272DF">
      <w:pPr>
        <w:rPr>
          <w:b/>
        </w:rPr>
      </w:pPr>
    </w:p>
    <w:p w14:paraId="495225C6" w14:textId="3CCFFE3B" w:rsidR="00FD0831" w:rsidRDefault="00E03556" w:rsidP="00E272DF">
      <w:pPr>
        <w:rPr>
          <w:b/>
        </w:rPr>
      </w:pPr>
      <w:r>
        <w:rPr>
          <w:b/>
        </w:rPr>
        <w:lastRenderedPageBreak/>
        <w:t>Observation 2: Benefits include increased channel access opportunities over a wider portion of the unlicensed band, and eliminating collisions between dynamically scheduled and autonomous transmissions on the same resources.</w:t>
      </w:r>
    </w:p>
    <w:p w14:paraId="7A60E05B" w14:textId="77777777" w:rsidR="00E03556" w:rsidRDefault="00E03556" w:rsidP="00E272DF">
      <w:pPr>
        <w:rPr>
          <w:b/>
        </w:rPr>
      </w:pPr>
    </w:p>
    <w:p w14:paraId="718C0222" w14:textId="45B0C13C" w:rsidR="00E03556" w:rsidRDefault="00E03556" w:rsidP="00E272DF">
      <w:r>
        <w:rPr>
          <w:b/>
        </w:rPr>
        <w:t>Proposal 2: gNB configures</w:t>
      </w:r>
      <w:r w:rsidR="009008F8">
        <w:rPr>
          <w:b/>
        </w:rPr>
        <w:t xml:space="preserve"> the</w:t>
      </w:r>
      <w:r>
        <w:rPr>
          <w:b/>
        </w:rPr>
        <w:t xml:space="preserve"> number of </w:t>
      </w:r>
      <w:r w:rsidR="009008F8">
        <w:rPr>
          <w:b/>
        </w:rPr>
        <w:t xml:space="preserve">simultaneous </w:t>
      </w:r>
      <w:r>
        <w:rPr>
          <w:b/>
        </w:rPr>
        <w:t>active UL BWPs</w:t>
      </w:r>
      <w:r w:rsidR="009008F8">
        <w:rPr>
          <w:b/>
        </w:rPr>
        <w:t>, the allocation</w:t>
      </w:r>
      <w:r>
        <w:rPr>
          <w:b/>
        </w:rPr>
        <w:t xml:space="preserve"> </w:t>
      </w:r>
      <w:r w:rsidR="009008F8">
        <w:rPr>
          <w:b/>
        </w:rPr>
        <w:t xml:space="preserve">of SUL and AUL transmission schemes to each BWP, </w:t>
      </w:r>
      <w:r>
        <w:rPr>
          <w:b/>
        </w:rPr>
        <w:t>and the switching between them.</w:t>
      </w:r>
    </w:p>
    <w:p w14:paraId="1E21312F" w14:textId="77777777" w:rsidR="00096B50" w:rsidRDefault="00096B50" w:rsidP="00FD0831">
      <w:pPr>
        <w:rPr>
          <w:b/>
        </w:rPr>
      </w:pPr>
    </w:p>
    <w:p w14:paraId="1F78EFE1" w14:textId="04B89D57" w:rsidR="003705DD" w:rsidRDefault="003705DD" w:rsidP="00AA62E3">
      <w:pPr>
        <w:pStyle w:val="Heading1"/>
      </w:pPr>
      <w:r>
        <w:t>Summary</w:t>
      </w:r>
    </w:p>
    <w:p w14:paraId="4293B9F9" w14:textId="45DD6F02" w:rsidR="0053586B" w:rsidRDefault="003705DD" w:rsidP="0053586B">
      <w:r>
        <w:t>In this document</w:t>
      </w:r>
      <w:r w:rsidR="00877963">
        <w:t xml:space="preserve"> we examined several aspects of</w:t>
      </w:r>
      <w:r w:rsidR="00A921DD">
        <w:t xml:space="preserve"> </w:t>
      </w:r>
      <w:r w:rsidR="002530E8">
        <w:t>UL BWP management</w:t>
      </w:r>
      <w:r w:rsidR="00A921DD">
        <w:t xml:space="preserve"> for</w:t>
      </w:r>
      <w:r w:rsidR="00877963">
        <w:t xml:space="preserve"> NR-U</w:t>
      </w:r>
      <w:r w:rsidR="002530E8">
        <w:t xml:space="preserve"> configured grants</w:t>
      </w:r>
      <w:r w:rsidR="00877963">
        <w:t>:</w:t>
      </w:r>
    </w:p>
    <w:p w14:paraId="57B25CFD" w14:textId="77777777" w:rsidR="00E03556" w:rsidRDefault="00E03556" w:rsidP="00E03556">
      <w:pPr>
        <w:rPr>
          <w:b/>
        </w:rPr>
      </w:pPr>
      <w:r w:rsidRPr="00BF19DF">
        <w:rPr>
          <w:b/>
        </w:rPr>
        <w:t>Observation</w:t>
      </w:r>
      <w:r>
        <w:rPr>
          <w:b/>
        </w:rPr>
        <w:t xml:space="preserve"> 1</w:t>
      </w:r>
      <w:r w:rsidRPr="00BF19DF">
        <w:rPr>
          <w:b/>
        </w:rPr>
        <w:t xml:space="preserve">: In Rel-15, both scheduled and autonomous PUSCH transmissions utilize the same UL BWP until the </w:t>
      </w:r>
      <w:r>
        <w:rPr>
          <w:b/>
        </w:rPr>
        <w:t>PUSCH transmission</w:t>
      </w:r>
      <w:r w:rsidRPr="00BF19DF">
        <w:rPr>
          <w:b/>
        </w:rPr>
        <w:t xml:space="preserve"> is indicated </w:t>
      </w:r>
      <w:r>
        <w:rPr>
          <w:b/>
        </w:rPr>
        <w:t xml:space="preserve">via DCI </w:t>
      </w:r>
      <w:r w:rsidRPr="00BF19DF">
        <w:rPr>
          <w:b/>
        </w:rPr>
        <w:t>to switch to a new BWP.</w:t>
      </w:r>
      <w:r>
        <w:rPr>
          <w:b/>
        </w:rPr>
        <w:t xml:space="preserve"> Only one UL BWP is active at a time.</w:t>
      </w:r>
    </w:p>
    <w:p w14:paraId="1204A81F" w14:textId="77777777" w:rsidR="00E03556" w:rsidRDefault="00E03556" w:rsidP="0053586B"/>
    <w:p w14:paraId="05ACB8C2" w14:textId="77777777" w:rsidR="00E03556" w:rsidRDefault="00E03556" w:rsidP="00E03556">
      <w:pPr>
        <w:rPr>
          <w:b/>
        </w:rPr>
      </w:pPr>
      <w:r w:rsidRPr="00350CCC">
        <w:rPr>
          <w:b/>
        </w:rPr>
        <w:t xml:space="preserve">Proposal 1: </w:t>
      </w:r>
      <w:r>
        <w:rPr>
          <w:b/>
        </w:rPr>
        <w:t xml:space="preserve">It can be beneficial for </w:t>
      </w:r>
      <w:r w:rsidRPr="00E03556">
        <w:rPr>
          <w:b/>
        </w:rPr>
        <w:t>NR-U UEs to operate on two active UL BWPs at the same time; one BWP for scheduled UL and a particular set of HARQ processes, the other BWP for configured grants with another set of HARQ processes.</w:t>
      </w:r>
      <w:r>
        <w:rPr>
          <w:b/>
        </w:rPr>
        <w:t xml:space="preserve"> </w:t>
      </w:r>
    </w:p>
    <w:p w14:paraId="1E693FF7" w14:textId="77777777" w:rsidR="00E03556" w:rsidRDefault="00E03556" w:rsidP="00E03556">
      <w:pPr>
        <w:rPr>
          <w:b/>
        </w:rPr>
      </w:pPr>
    </w:p>
    <w:p w14:paraId="2EADB059" w14:textId="6B5E5ED7" w:rsidR="00E03556" w:rsidRDefault="00E03556" w:rsidP="00E03556">
      <w:r>
        <w:rPr>
          <w:b/>
        </w:rPr>
        <w:t>Observation 2: Benefits include increased channel access opportunities over a wider portion of the unlicensed band, and eliminating collisions between dynamically scheduled and autonomous transmissions on the same resources.</w:t>
      </w:r>
    </w:p>
    <w:p w14:paraId="46C7A2E6" w14:textId="77777777" w:rsidR="00E03556" w:rsidRDefault="00E03556" w:rsidP="00E03556">
      <w:pPr>
        <w:rPr>
          <w:b/>
        </w:rPr>
      </w:pPr>
    </w:p>
    <w:p w14:paraId="1EFF53CE" w14:textId="77777777" w:rsidR="009008F8" w:rsidRDefault="00E03556" w:rsidP="009008F8">
      <w:r>
        <w:rPr>
          <w:b/>
        </w:rPr>
        <w:t xml:space="preserve">Proposal 2: </w:t>
      </w:r>
      <w:r w:rsidR="009008F8">
        <w:rPr>
          <w:b/>
        </w:rPr>
        <w:t>gNB configures the number of simultaneous active UL BWPs, the allocation of SUL and AUL transmission schemes to each BWP, and the switching between them.</w:t>
      </w:r>
    </w:p>
    <w:p w14:paraId="36905BBC" w14:textId="643D4EA7" w:rsidR="00E03556" w:rsidRDefault="00E03556" w:rsidP="00E03556"/>
    <w:p w14:paraId="7E7A8D7B" w14:textId="77777777" w:rsidR="00C97103" w:rsidRDefault="00C97103" w:rsidP="0053586B"/>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25F6EEAE" w:rsidR="00A921DD" w:rsidRPr="00AA62E3"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E272DF">
        <w:rPr>
          <w:rFonts w:eastAsia="SimSun"/>
          <w:color w:val="000000"/>
          <w:lang w:eastAsia="zh-CN"/>
        </w:rPr>
        <w:t>4</w:t>
      </w:r>
      <w:r>
        <w:rPr>
          <w:rFonts w:eastAsia="SimSun"/>
          <w:color w:val="000000"/>
          <w:lang w:eastAsia="zh-CN"/>
        </w:rPr>
        <w:t xml:space="preserve">, </w:t>
      </w:r>
      <w:r w:rsidR="00E272DF">
        <w:rPr>
          <w:rFonts w:eastAsia="SimSun"/>
          <w:color w:val="000000"/>
          <w:lang w:eastAsia="zh-CN"/>
        </w:rPr>
        <w:t>Gothenburg</w:t>
      </w:r>
      <w:r>
        <w:rPr>
          <w:rFonts w:eastAsia="SimSun"/>
          <w:color w:val="000000"/>
          <w:lang w:eastAsia="zh-CN"/>
        </w:rPr>
        <w:t>.</w:t>
      </w:r>
      <w:bookmarkEnd w:id="3"/>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CE9A" w14:textId="77777777" w:rsidR="0016151B" w:rsidRDefault="0016151B" w:rsidP="00424124">
      <w:pPr>
        <w:spacing w:before="0" w:after="0"/>
      </w:pPr>
      <w:r>
        <w:separator/>
      </w:r>
    </w:p>
  </w:endnote>
  <w:endnote w:type="continuationSeparator" w:id="0">
    <w:p w14:paraId="7AF0695F" w14:textId="77777777" w:rsidR="0016151B" w:rsidRDefault="0016151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28E9B" w14:textId="77777777" w:rsidR="0016151B" w:rsidRDefault="0016151B" w:rsidP="00424124">
      <w:pPr>
        <w:spacing w:before="0" w:after="0"/>
      </w:pPr>
      <w:r>
        <w:separator/>
      </w:r>
    </w:p>
  </w:footnote>
  <w:footnote w:type="continuationSeparator" w:id="0">
    <w:p w14:paraId="7CED0F90" w14:textId="77777777" w:rsidR="0016151B" w:rsidRDefault="0016151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9"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6"/>
  </w:num>
  <w:num w:numId="4">
    <w:abstractNumId w:val="1"/>
  </w:num>
  <w:num w:numId="5">
    <w:abstractNumId w:val="20"/>
  </w:num>
  <w:num w:numId="6">
    <w:abstractNumId w:val="18"/>
  </w:num>
  <w:num w:numId="7">
    <w:abstractNumId w:val="2"/>
  </w:num>
  <w:num w:numId="8">
    <w:abstractNumId w:val="8"/>
  </w:num>
  <w:num w:numId="9">
    <w:abstractNumId w:val="19"/>
  </w:num>
  <w:num w:numId="10">
    <w:abstractNumId w:val="6"/>
  </w:num>
  <w:num w:numId="11">
    <w:abstractNumId w:val="5"/>
  </w:num>
  <w:num w:numId="12">
    <w:abstractNumId w:val="9"/>
  </w:num>
  <w:num w:numId="13">
    <w:abstractNumId w:val="12"/>
  </w:num>
  <w:num w:numId="14">
    <w:abstractNumId w:val="14"/>
  </w:num>
  <w:num w:numId="15">
    <w:abstractNumId w:val="3"/>
  </w:num>
  <w:num w:numId="16">
    <w:abstractNumId w:val="10"/>
  </w:num>
  <w:num w:numId="17">
    <w:abstractNumId w:val="16"/>
  </w:num>
  <w:num w:numId="18">
    <w:abstractNumId w:val="16"/>
  </w:num>
  <w:num w:numId="19">
    <w:abstractNumId w:val="11"/>
  </w:num>
  <w:num w:numId="20">
    <w:abstractNumId w:val="7"/>
  </w:num>
  <w:num w:numId="21">
    <w:abstractNumId w:val="0"/>
  </w:num>
  <w:num w:numId="22">
    <w:abstractNumId w:val="15"/>
  </w:num>
  <w:num w:numId="23">
    <w:abstractNumId w:val="17"/>
  </w:num>
  <w:num w:numId="2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4178F"/>
    <w:rsid w:val="001417A8"/>
    <w:rsid w:val="00153793"/>
    <w:rsid w:val="00156D74"/>
    <w:rsid w:val="0016151B"/>
    <w:rsid w:val="00167D68"/>
    <w:rsid w:val="00172743"/>
    <w:rsid w:val="00174B69"/>
    <w:rsid w:val="001775C4"/>
    <w:rsid w:val="0018672E"/>
    <w:rsid w:val="001941FB"/>
    <w:rsid w:val="00197607"/>
    <w:rsid w:val="001A34BE"/>
    <w:rsid w:val="001A5A68"/>
    <w:rsid w:val="001A6212"/>
    <w:rsid w:val="001A75E0"/>
    <w:rsid w:val="001B731B"/>
    <w:rsid w:val="001C07DC"/>
    <w:rsid w:val="001C699C"/>
    <w:rsid w:val="001E0CE1"/>
    <w:rsid w:val="001E58CC"/>
    <w:rsid w:val="001F59E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7225"/>
    <w:rsid w:val="002A005E"/>
    <w:rsid w:val="002A0226"/>
    <w:rsid w:val="002A0270"/>
    <w:rsid w:val="002A1134"/>
    <w:rsid w:val="002C0488"/>
    <w:rsid w:val="002C2227"/>
    <w:rsid w:val="002C4097"/>
    <w:rsid w:val="002C6BAC"/>
    <w:rsid w:val="002D0CCE"/>
    <w:rsid w:val="002D3D42"/>
    <w:rsid w:val="002D479B"/>
    <w:rsid w:val="002D59EA"/>
    <w:rsid w:val="002D6DFE"/>
    <w:rsid w:val="002D6EC9"/>
    <w:rsid w:val="002D787B"/>
    <w:rsid w:val="002E0939"/>
    <w:rsid w:val="002E1960"/>
    <w:rsid w:val="002E6296"/>
    <w:rsid w:val="002F12DF"/>
    <w:rsid w:val="002F5136"/>
    <w:rsid w:val="00313064"/>
    <w:rsid w:val="00315DC4"/>
    <w:rsid w:val="00317020"/>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6EFE"/>
    <w:rsid w:val="003705DD"/>
    <w:rsid w:val="003727DB"/>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137D5"/>
    <w:rsid w:val="004146B7"/>
    <w:rsid w:val="00424124"/>
    <w:rsid w:val="00426B8E"/>
    <w:rsid w:val="00434212"/>
    <w:rsid w:val="00435EA5"/>
    <w:rsid w:val="004364F4"/>
    <w:rsid w:val="00440F6E"/>
    <w:rsid w:val="00443645"/>
    <w:rsid w:val="00443CD6"/>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6AA8"/>
    <w:rsid w:val="004B6E00"/>
    <w:rsid w:val="004C186B"/>
    <w:rsid w:val="004C3F2E"/>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78C8"/>
    <w:rsid w:val="0058113E"/>
    <w:rsid w:val="0058120D"/>
    <w:rsid w:val="00582E47"/>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790B"/>
    <w:rsid w:val="006F055C"/>
    <w:rsid w:val="006F3A2E"/>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4288"/>
    <w:rsid w:val="00774F2A"/>
    <w:rsid w:val="00782B9C"/>
    <w:rsid w:val="00782CDC"/>
    <w:rsid w:val="007839F9"/>
    <w:rsid w:val="007A2765"/>
    <w:rsid w:val="007A2E96"/>
    <w:rsid w:val="007A546E"/>
    <w:rsid w:val="007B13E5"/>
    <w:rsid w:val="007B2F6B"/>
    <w:rsid w:val="007B473A"/>
    <w:rsid w:val="007D2A36"/>
    <w:rsid w:val="007D2C48"/>
    <w:rsid w:val="007D4056"/>
    <w:rsid w:val="007E0C23"/>
    <w:rsid w:val="007E546F"/>
    <w:rsid w:val="007F1928"/>
    <w:rsid w:val="007F343C"/>
    <w:rsid w:val="007F392E"/>
    <w:rsid w:val="00801422"/>
    <w:rsid w:val="008016B6"/>
    <w:rsid w:val="00806FA9"/>
    <w:rsid w:val="00811234"/>
    <w:rsid w:val="00811A1B"/>
    <w:rsid w:val="008135D0"/>
    <w:rsid w:val="008204DD"/>
    <w:rsid w:val="00824DED"/>
    <w:rsid w:val="00826E5A"/>
    <w:rsid w:val="008276A8"/>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3D92"/>
    <w:rsid w:val="009A4D63"/>
    <w:rsid w:val="009A54FC"/>
    <w:rsid w:val="009A5A1C"/>
    <w:rsid w:val="009B08C5"/>
    <w:rsid w:val="009B0DE8"/>
    <w:rsid w:val="009B52C0"/>
    <w:rsid w:val="009C2167"/>
    <w:rsid w:val="009C324F"/>
    <w:rsid w:val="009C6D2C"/>
    <w:rsid w:val="009D46C1"/>
    <w:rsid w:val="009E0D02"/>
    <w:rsid w:val="009E5838"/>
    <w:rsid w:val="00A039FE"/>
    <w:rsid w:val="00A04465"/>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B04278"/>
    <w:rsid w:val="00B12672"/>
    <w:rsid w:val="00B14861"/>
    <w:rsid w:val="00B163AD"/>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A7A53"/>
    <w:rsid w:val="00BB40CC"/>
    <w:rsid w:val="00BC07D6"/>
    <w:rsid w:val="00BC10A1"/>
    <w:rsid w:val="00BC31F9"/>
    <w:rsid w:val="00BC6F83"/>
    <w:rsid w:val="00BD2B71"/>
    <w:rsid w:val="00BD34B4"/>
    <w:rsid w:val="00BD3C51"/>
    <w:rsid w:val="00BD6AA5"/>
    <w:rsid w:val="00BE2C56"/>
    <w:rsid w:val="00BE73BE"/>
    <w:rsid w:val="00BF0E63"/>
    <w:rsid w:val="00BF19DF"/>
    <w:rsid w:val="00BF2C5D"/>
    <w:rsid w:val="00BF31E3"/>
    <w:rsid w:val="00BF321D"/>
    <w:rsid w:val="00C00740"/>
    <w:rsid w:val="00C07731"/>
    <w:rsid w:val="00C12D16"/>
    <w:rsid w:val="00C1657F"/>
    <w:rsid w:val="00C218A9"/>
    <w:rsid w:val="00C263F4"/>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5FAB"/>
    <w:rsid w:val="00D56786"/>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4A75"/>
    <w:rsid w:val="00EB5FBB"/>
    <w:rsid w:val="00EC6929"/>
    <w:rsid w:val="00EC6A0B"/>
    <w:rsid w:val="00ED407A"/>
    <w:rsid w:val="00EE3517"/>
    <w:rsid w:val="00EE4A18"/>
    <w:rsid w:val="00EF61D1"/>
    <w:rsid w:val="00EF70F2"/>
    <w:rsid w:val="00F01D63"/>
    <w:rsid w:val="00F154D0"/>
    <w:rsid w:val="00F17550"/>
    <w:rsid w:val="00F230F7"/>
    <w:rsid w:val="00F24169"/>
    <w:rsid w:val="00F261D6"/>
    <w:rsid w:val="00F319E6"/>
    <w:rsid w:val="00F329F4"/>
    <w:rsid w:val="00F35911"/>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B1AAD"/>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BB1BF-F4E4-4FDE-B542-097FDB7E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38</cp:revision>
  <cp:lastPrinted>2016-02-23T15:51:00Z</cp:lastPrinted>
  <dcterms:created xsi:type="dcterms:W3CDTF">2018-08-07T22:19:00Z</dcterms:created>
  <dcterms:modified xsi:type="dcterms:W3CDTF">2018-09-28T21:46:00Z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